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49E8E" w14:textId="77777777" w:rsidR="00000000" w:rsidRDefault="00000000">
      <w:pPr>
        <w:spacing w:after="0"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 xml:space="preserve">Check-list </w:t>
      </w:r>
      <w:r>
        <w:rPr>
          <w:rFonts w:ascii="Arial" w:eastAsia="Arial" w:hAnsi="Arial"/>
          <w:b/>
        </w:rPr>
        <w:t>Responsabile Antiricilaggio</w:t>
      </w:r>
      <w:r>
        <w:rPr>
          <w:rFonts w:ascii="Arial" w:eastAsia="Arial" w:hAnsi="Arial"/>
        </w:rPr>
        <w:t xml:space="preserve"> presso lo Studio  </w:t>
      </w:r>
      <w:r>
        <w:rPr>
          <w:rFonts w:ascii="Arial" w:eastAsia="Arial" w:hAnsi="Arial"/>
        </w:rPr>
        <w:fldChar w:fldCharType="begin"/>
      </w:r>
      <w:r>
        <w:rPr>
          <w:rFonts w:ascii="Arial" w:eastAsia="Arial" w:hAnsi="Arial"/>
        </w:rPr>
        <w:instrText xml:space="preserve"> DOCPROPERTY eB_ANT_SoggettoObbligato \* MERGEFORMAT </w:instrText>
      </w:r>
      <w:r>
        <w:rPr>
          <w:rFonts w:ascii="Arial" w:eastAsia="Arial" w:hAnsi="Arial"/>
        </w:rPr>
        <w:fldChar w:fldCharType="separate"/>
      </w:r>
      <w:r>
        <w:rPr>
          <w:rFonts w:ascii="Arial" w:eastAsia="Arial" w:hAnsi="Arial"/>
        </w:rPr>
        <w:fldChar w:fldCharType="end"/>
      </w:r>
      <w:r>
        <w:rPr>
          <w:rFonts w:ascii="Arial" w:eastAsia="Arial" w:hAnsi="Arial"/>
        </w:rPr>
        <w:t xml:space="preserve">         – CF: </w:t>
      </w:r>
      <w:r>
        <w:rPr>
          <w:rFonts w:ascii="Arial" w:eastAsia="Arial" w:hAnsi="Arial"/>
        </w:rPr>
        <w:fldChar w:fldCharType="begin"/>
      </w:r>
      <w:r>
        <w:rPr>
          <w:rFonts w:ascii="Arial" w:eastAsia="Arial" w:hAnsi="Arial"/>
        </w:rPr>
        <w:instrText xml:space="preserve"> DOCPROPERTY eB_ANT_CodFiscSoggettoObbligato \* MERGEFORMAT </w:instrText>
      </w:r>
      <w:r>
        <w:rPr>
          <w:rFonts w:ascii="Arial" w:eastAsia="Arial" w:hAnsi="Arial"/>
        </w:rPr>
        <w:fldChar w:fldCharType="separate"/>
      </w:r>
      <w:r>
        <w:rPr>
          <w:rFonts w:ascii="Arial" w:eastAsia="Arial" w:hAnsi="Arial"/>
        </w:rPr>
        <w:t xml:space="preserve">         </w:t>
      </w:r>
      <w:r>
        <w:rPr>
          <w:rFonts w:ascii="Arial" w:eastAsia="Arial" w:hAnsi="Arial"/>
        </w:rPr>
        <w:fldChar w:fldCharType="end"/>
      </w:r>
      <w:r>
        <w:rPr>
          <w:rFonts w:ascii="Arial" w:eastAsia="Arial" w:hAnsi="Arial"/>
        </w:rPr>
        <w:t xml:space="preserve"> P.IVA </w:t>
      </w:r>
      <w:r>
        <w:rPr>
          <w:rFonts w:ascii="Arial" w:eastAsia="Arial" w:hAnsi="Arial"/>
        </w:rPr>
        <w:fldChar w:fldCharType="begin"/>
      </w:r>
      <w:r>
        <w:rPr>
          <w:rFonts w:ascii="Arial" w:eastAsia="Arial" w:hAnsi="Arial"/>
        </w:rPr>
        <w:instrText xml:space="preserve"> DOCPROPERTY eB_ANT_PIVASoggettoObbligato \* MERGEFORMAT </w:instrText>
      </w:r>
      <w:r>
        <w:rPr>
          <w:rFonts w:ascii="Arial" w:eastAsia="Arial" w:hAnsi="Arial"/>
        </w:rPr>
        <w:fldChar w:fldCharType="separate"/>
      </w:r>
      <w:r>
        <w:rPr>
          <w:rFonts w:ascii="Arial" w:eastAsia="Arial" w:hAnsi="Arial"/>
        </w:rPr>
        <w:t xml:space="preserve">     </w:t>
      </w:r>
      <w:r>
        <w:rPr>
          <w:rFonts w:ascii="Arial" w:eastAsia="Arial" w:hAnsi="Arial"/>
        </w:rPr>
        <w:fldChar w:fldCharType="end"/>
      </w:r>
      <w:r>
        <w:rPr>
          <w:rFonts w:ascii="Arial" w:eastAsia="Arial" w:hAnsi="Arial"/>
        </w:rPr>
        <w:t xml:space="preserve">  eseguita da </w:t>
      </w:r>
      <w:r>
        <w:rPr>
          <w:rFonts w:ascii="Arial" w:eastAsia="Arial" w:hAnsi="Arial"/>
        </w:rPr>
        <w:fldChar w:fldCharType="begin"/>
      </w:r>
      <w:r>
        <w:rPr>
          <w:rFonts w:ascii="Arial" w:eastAsia="Arial" w:hAnsi="Arial"/>
        </w:rPr>
        <w:instrText xml:space="preserve"> DOCPROPERTY eB_ANT_ResponsabileAntiricilaggio \* MERGEFORMAT </w:instrText>
      </w:r>
      <w:r>
        <w:rPr>
          <w:rFonts w:ascii="Arial" w:eastAsia="Arial" w:hAnsi="Arial"/>
        </w:rPr>
        <w:fldChar w:fldCharType="separate"/>
      </w:r>
      <w:r>
        <w:rPr>
          <w:rFonts w:ascii="Arial" w:eastAsia="Arial" w:hAnsi="Arial"/>
        </w:rPr>
        <w:t>(responsabile AML)</w:t>
      </w:r>
      <w:r>
        <w:rPr>
          <w:rFonts w:ascii="Arial" w:eastAsia="Arial" w:hAnsi="Arial"/>
        </w:rPr>
        <w:fldChar w:fldCharType="end"/>
      </w:r>
      <w:r>
        <w:rPr>
          <w:rFonts w:ascii="Arial" w:eastAsia="Arial" w:hAnsi="Arial"/>
        </w:rPr>
        <w:t xml:space="preserve">. </w:t>
      </w:r>
    </w:p>
    <w:p w14:paraId="67D386D3" w14:textId="77777777" w:rsidR="00000000" w:rsidRDefault="00000000">
      <w:pPr>
        <w:spacing w:after="0" w:line="360" w:lineRule="auto"/>
        <w:rPr>
          <w:rFonts w:ascii="Arial" w:eastAsia="Arial" w:hAnsi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275"/>
        <w:gridCol w:w="5038"/>
        <w:gridCol w:w="1984"/>
      </w:tblGrid>
      <w:tr w:rsidR="00000000" w14:paraId="498849AA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334E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Completo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0B55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Data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871B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Attività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FEBC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Note</w:t>
            </w:r>
          </w:p>
        </w:tc>
      </w:tr>
      <w:tr w:rsidR="00000000" w14:paraId="5612655D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0C7ED0A8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781784F6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3954B998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Identificazione delle norme applicabili e valutazione dell’impatto sulle procedure interne</w:t>
            </w:r>
          </w:p>
        </w:tc>
        <w:tc>
          <w:tcPr>
            <w:tcW w:w="1984" w:type="dxa"/>
          </w:tcPr>
          <w:p w14:paraId="0260C92D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0197F323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1AC78C76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74645604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4844DEC6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Verifica dell’adeguatezza delle procedure interne</w:t>
            </w:r>
          </w:p>
        </w:tc>
        <w:tc>
          <w:tcPr>
            <w:tcW w:w="1984" w:type="dxa"/>
          </w:tcPr>
          <w:p w14:paraId="15232D92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7B32AB89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3D5748ED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58958350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7ADB89D9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Definizione, formalizzazione ed aggiornamento della procedura antiriciclaggio</w:t>
            </w:r>
          </w:p>
        </w:tc>
        <w:tc>
          <w:tcPr>
            <w:tcW w:w="1984" w:type="dxa"/>
          </w:tcPr>
          <w:p w14:paraId="5344385A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443051FC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61EB949D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25B12FF7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1989E3E9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Predisposizione dell’autovalutazione periodica</w:t>
            </w:r>
          </w:p>
        </w:tc>
        <w:tc>
          <w:tcPr>
            <w:tcW w:w="1984" w:type="dxa"/>
          </w:tcPr>
          <w:p w14:paraId="59F91891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2124CF61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0CC60C30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24CE4689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1874B8FC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Verifica della conoscenza della normativa antiriciclaggio all’interno dello studio</w:t>
            </w:r>
          </w:p>
        </w:tc>
        <w:tc>
          <w:tcPr>
            <w:tcW w:w="1984" w:type="dxa"/>
          </w:tcPr>
          <w:p w14:paraId="50E94C66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25185A6D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1C348C6A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26FB7F9F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195BCAAF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Istituzione ed aggiornamento di un archivio contenente le disposizioni di natura legislativa e regolamentare</w:t>
            </w:r>
          </w:p>
        </w:tc>
        <w:tc>
          <w:tcPr>
            <w:tcW w:w="1984" w:type="dxa"/>
          </w:tcPr>
          <w:p w14:paraId="717B5FD5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1E4321DB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3251DEBE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09DADC05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2C3759C0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Pianificazione attività di formazione</w:t>
            </w:r>
          </w:p>
        </w:tc>
        <w:tc>
          <w:tcPr>
            <w:tcW w:w="1984" w:type="dxa"/>
          </w:tcPr>
          <w:p w14:paraId="627ADB7C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06DB2741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10768110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2D4206A0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5904EA5C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Individuazione del sistema dei controlli interni e delle procedure per la prevenzione e la gestione dei rischi di riciclaggio</w:t>
            </w:r>
          </w:p>
        </w:tc>
        <w:tc>
          <w:tcPr>
            <w:tcW w:w="1984" w:type="dxa"/>
          </w:tcPr>
          <w:p w14:paraId="2C9FBB24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612AC90A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207D8D8E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0BAC491F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6B7DD724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Verifica degli adempimenti antiriciclaggio tramite controllo delle registrazioni presenti in archivio</w:t>
            </w:r>
          </w:p>
        </w:tc>
        <w:tc>
          <w:tcPr>
            <w:tcW w:w="1984" w:type="dxa"/>
          </w:tcPr>
          <w:p w14:paraId="55B378B6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6999C57D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14:paraId="416F6631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</w:tcPr>
          <w:p w14:paraId="69B02C4E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</w:tcPr>
          <w:p w14:paraId="26A0A99E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Analisi dei movimenti finanziari per l’individuazione di indizi di operazioni sospette</w:t>
            </w:r>
          </w:p>
        </w:tc>
        <w:tc>
          <w:tcPr>
            <w:tcW w:w="1984" w:type="dxa"/>
          </w:tcPr>
          <w:p w14:paraId="7C97E0D8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  <w:tr w:rsidR="00000000" w14:paraId="173B4177" w14:textId="77777777">
        <w:tblPrEx>
          <w:tblCellMar>
            <w:top w:w="0" w:type="dxa"/>
            <w:bottom w:w="0" w:type="dxa"/>
          </w:tblCellMar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289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1B7" w14:textId="77777777" w:rsidR="00000000" w:rsidRDefault="00000000">
            <w:pPr>
              <w:spacing w:after="0" w:line="360" w:lineRule="auto"/>
              <w:jc w:val="center"/>
              <w:rPr>
                <w:rFonts w:ascii="Arial" w:eastAsia="Arial" w:hAnsi="Arial"/>
                <w:color w:val="FF0000"/>
                <w:sz w:val="20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AB31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Assistenza al soggetto obbligato per gestire e mitigare il rischio residuo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C1A" w14:textId="77777777" w:rsidR="00000000" w:rsidRDefault="00000000">
            <w:pPr>
              <w:spacing w:after="0" w:line="360" w:lineRule="auto"/>
              <w:rPr>
                <w:rFonts w:ascii="Arial" w:eastAsia="Arial" w:hAnsi="Arial"/>
              </w:rPr>
            </w:pPr>
          </w:p>
        </w:tc>
      </w:tr>
    </w:tbl>
    <w:p w14:paraId="574B3AE9" w14:textId="77777777" w:rsidR="00491421" w:rsidRDefault="00491421">
      <w:pPr>
        <w:spacing w:after="0" w:line="360" w:lineRule="auto"/>
        <w:rPr>
          <w:rFonts w:ascii="Arial" w:eastAsia="Arial" w:hAnsi="Arial"/>
        </w:rPr>
      </w:pPr>
    </w:p>
    <w:sectPr w:rsidR="00491421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234"/>
    <w:rsid w:val="00466E79"/>
    <w:rsid w:val="00491421"/>
    <w:rsid w:val="00EB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7FFF7"/>
  <w15:chartTrackingRefBased/>
  <w15:docId w15:val="{1A13D4BB-8844-467E-B4EA-FF42DA80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 w:eastAsia="Calibri" w:hAnsi="Calibri"/>
      <w:sz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[Normal]"/>
    <w:rPr>
      <w:rFonts w:ascii="Arial" w:eastAsia="Arial" w:hAnsi="Arial"/>
      <w:sz w:val="24"/>
    </w:rPr>
  </w:style>
  <w:style w:type="paragraph" w:customStyle="1" w:styleId="header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footer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sz w:val="22"/>
    </w:rPr>
  </w:style>
  <w:style w:type="character" w:customStyle="1" w:styleId="PidipaginaCarattere">
    <w:name w:val="Piè di pagina Carattere"/>
    <w:basedOn w:val="Carpredefinitoparagrafo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Base>c:\temp\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Questionario per l’adempimento degli obblighi di vigilanza sugli iscritti (art. 11</dc:title>
  <dc:subject/>
  <dc:creator>Michele Placentino</dc:creator>
  <cp:keywords/>
  <cp:lastModifiedBy>Michele Placentino</cp:lastModifiedBy>
  <cp:revision>2</cp:revision>
  <dcterms:created xsi:type="dcterms:W3CDTF">2025-12-13T07:12:00Z</dcterms:created>
  <dcterms:modified xsi:type="dcterms:W3CDTF">2025-12-13T07:12:00Z</dcterms:modified>
</cp:coreProperties>
</file>